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690" w:rsidRDefault="00EC0690" w:rsidP="00A47F50">
      <w:pPr>
        <w:spacing w:line="480" w:lineRule="auto"/>
        <w:jc w:val="center"/>
        <w:rPr>
          <w:b/>
        </w:rPr>
      </w:pPr>
    </w:p>
    <w:p w:rsidR="00EC0690" w:rsidRDefault="00EC0690" w:rsidP="00A47F50">
      <w:pPr>
        <w:spacing w:line="480" w:lineRule="auto"/>
        <w:jc w:val="center"/>
        <w:rPr>
          <w:b/>
        </w:rPr>
      </w:pPr>
    </w:p>
    <w:p w:rsidR="00EC0690" w:rsidRDefault="00EC0690" w:rsidP="00A47F50">
      <w:pPr>
        <w:spacing w:line="480" w:lineRule="auto"/>
        <w:jc w:val="center"/>
        <w:rPr>
          <w:b/>
        </w:rPr>
      </w:pPr>
    </w:p>
    <w:p w:rsidR="00EC0690" w:rsidRPr="00EC0690" w:rsidRDefault="00653ADE" w:rsidP="00A47F50">
      <w:pPr>
        <w:spacing w:line="480" w:lineRule="auto"/>
        <w:jc w:val="center"/>
        <w:rPr>
          <w:b/>
        </w:rPr>
      </w:pPr>
      <w:r w:rsidRPr="00EC0690">
        <w:rPr>
          <w:b/>
        </w:rPr>
        <w:t>MOT 135: Research Paper</w:t>
      </w:r>
    </w:p>
    <w:p w:rsidR="00EC0690" w:rsidRDefault="00EC0690" w:rsidP="00A47F50">
      <w:pPr>
        <w:spacing w:line="480" w:lineRule="auto"/>
        <w:jc w:val="center"/>
      </w:pPr>
    </w:p>
    <w:p w:rsidR="00EC0690" w:rsidRDefault="00EC0690" w:rsidP="00A47F50">
      <w:pPr>
        <w:spacing w:line="480" w:lineRule="auto"/>
        <w:jc w:val="center"/>
      </w:pPr>
    </w:p>
    <w:p w:rsidR="00EC0690" w:rsidRDefault="00EC0690" w:rsidP="00A47F50">
      <w:pPr>
        <w:spacing w:line="480" w:lineRule="auto"/>
        <w:jc w:val="center"/>
      </w:pPr>
    </w:p>
    <w:p w:rsidR="00EC0690" w:rsidRPr="00EC0690" w:rsidRDefault="00653ADE" w:rsidP="00A47F50">
      <w:pPr>
        <w:spacing w:line="480" w:lineRule="auto"/>
        <w:jc w:val="center"/>
      </w:pPr>
      <w:r w:rsidRPr="00EC0690">
        <w:t>Student’s Name</w:t>
      </w:r>
    </w:p>
    <w:p w:rsidR="00EC0690" w:rsidRPr="00EC0690" w:rsidRDefault="00653ADE" w:rsidP="00A47F50">
      <w:pPr>
        <w:spacing w:line="480" w:lineRule="auto"/>
        <w:jc w:val="center"/>
      </w:pPr>
      <w:r w:rsidRPr="00EC0690">
        <w:t>Institution of Affiliation</w:t>
      </w:r>
    </w:p>
    <w:p w:rsidR="00EC0690" w:rsidRPr="00EC0690" w:rsidRDefault="00653ADE" w:rsidP="00A47F50">
      <w:pPr>
        <w:spacing w:line="480" w:lineRule="auto"/>
        <w:jc w:val="center"/>
      </w:pPr>
      <w:r w:rsidRPr="00EC0690">
        <w:t>Course Code and Course Name</w:t>
      </w:r>
    </w:p>
    <w:p w:rsidR="00EC0690" w:rsidRPr="00EC0690" w:rsidRDefault="00653ADE" w:rsidP="00A47F50">
      <w:pPr>
        <w:spacing w:line="480" w:lineRule="auto"/>
        <w:jc w:val="center"/>
      </w:pPr>
      <w:r w:rsidRPr="00EC0690">
        <w:t>Professor</w:t>
      </w:r>
    </w:p>
    <w:p w:rsidR="00EC0690" w:rsidRPr="00EC0690" w:rsidRDefault="00653ADE" w:rsidP="00A47F50">
      <w:pPr>
        <w:spacing w:line="480" w:lineRule="auto"/>
        <w:jc w:val="center"/>
      </w:pPr>
      <w:r w:rsidRPr="00EC0690">
        <w:t>Date</w:t>
      </w:r>
    </w:p>
    <w:p w:rsidR="00EC0690" w:rsidRDefault="00653ADE" w:rsidP="00A47F50">
      <w:pPr>
        <w:spacing w:line="480" w:lineRule="auto"/>
      </w:pPr>
      <w:r>
        <w:br w:type="page"/>
      </w:r>
    </w:p>
    <w:p w:rsidR="00EC0690" w:rsidRPr="00EE174A" w:rsidRDefault="00653ADE" w:rsidP="00A47F50">
      <w:pPr>
        <w:spacing w:line="480" w:lineRule="auto"/>
        <w:jc w:val="center"/>
        <w:rPr>
          <w:b/>
        </w:rPr>
      </w:pPr>
      <w:r w:rsidRPr="00EE174A">
        <w:rPr>
          <w:b/>
        </w:rPr>
        <w:lastRenderedPageBreak/>
        <w:t>Lymphomas</w:t>
      </w:r>
      <w:bookmarkStart w:id="0" w:name="_GoBack"/>
      <w:bookmarkEnd w:id="0"/>
    </w:p>
    <w:p w:rsidR="00B577E2" w:rsidRPr="00EC0690" w:rsidRDefault="00653ADE" w:rsidP="00A47F50">
      <w:pPr>
        <w:spacing w:line="480" w:lineRule="auto"/>
        <w:ind w:firstLine="720"/>
      </w:pPr>
      <w:r w:rsidRPr="00EC0690">
        <w:t>The lymph nodes are secondary lymphoid organs, where the B and T cells of the immune system proliferate in response to exogenous</w:t>
      </w:r>
      <w:r w:rsidRPr="00EC0690">
        <w:t xml:space="preserve"> antigen (those derived from outside the body). Their main function is in the organized detection of and inactivation of foreign antigens that are present in the lymph fluid that has drained from the m</w:t>
      </w:r>
      <w:r w:rsidR="00EE174A">
        <w:t xml:space="preserve">ajor organs in contact with the </w:t>
      </w:r>
      <w:r w:rsidRPr="00EC0690">
        <w:t>environment</w:t>
      </w:r>
      <w:r w:rsidR="00EC0690" w:rsidRPr="00EC0690">
        <w:t xml:space="preserve"> (</w:t>
      </w:r>
      <w:r w:rsidR="00EE174A">
        <w:t xml:space="preserve">Roitt &amp; </w:t>
      </w:r>
      <w:r w:rsidR="00A47F50" w:rsidRPr="00EC0690">
        <w:t xml:space="preserve">Delves, </w:t>
      </w:r>
      <w:r w:rsidR="00A47F50">
        <w:t>2004</w:t>
      </w:r>
      <w:r w:rsidR="00EC0690" w:rsidRPr="00EC0690">
        <w:t>)</w:t>
      </w:r>
      <w:r w:rsidRPr="00EC0690">
        <w:t xml:space="preserve">. Their anatomical structure depicts the soft ovoid structure of about 2 cm maximum that is composed of a capsule, cortex, </w:t>
      </w:r>
      <w:r w:rsidR="00A47F50">
        <w:t>p</w:t>
      </w:r>
      <w:r w:rsidR="00A47F50" w:rsidRPr="00EC0690">
        <w:t>aracortex</w:t>
      </w:r>
      <w:r w:rsidRPr="00EC0690">
        <w:t>, medulla, and sinuses</w:t>
      </w:r>
      <w:r w:rsidR="00EE174A">
        <w:t xml:space="preserve"> (Roitt &amp; </w:t>
      </w:r>
      <w:r w:rsidR="00EC0690" w:rsidRPr="00EC0690">
        <w:t xml:space="preserve">Delves, </w:t>
      </w:r>
      <w:r w:rsidR="00A47F50">
        <w:t>2004</w:t>
      </w:r>
      <w:r w:rsidR="00EC0690" w:rsidRPr="00EC0690">
        <w:t>)</w:t>
      </w:r>
      <w:r w:rsidRPr="00EC0690">
        <w:t>. When we think of the lymph node and its associated diseases, it n</w:t>
      </w:r>
      <w:r w:rsidRPr="00EC0690">
        <w:t>ot uncommon to consider the neoplastic diseases that do affect these structures in the body. The most common of neoplastic diseases that affect the lymph nodes are the metastatic tumors from other parts of the body. This derives from the fact that these ti</w:t>
      </w:r>
      <w:r w:rsidRPr="00EC0690">
        <w:t>ssues are involved in the drainage of fluid from the different body sites and as such is not uncommon that they will carry in the fluid draining from different parts of the neoplastic body cells through the lymphatic vessels to the lymph nodes where they p</w:t>
      </w:r>
      <w:r w:rsidRPr="00EC0690">
        <w:t xml:space="preserve">roliferate giving rise to metastases. This is a notion that has received extensive application in terms of staging tumors, </w:t>
      </w:r>
      <w:r w:rsidR="00175769" w:rsidRPr="00EC0690">
        <w:t>especially using the TNM staging criteria</w:t>
      </w:r>
      <w:r w:rsidRPr="00EC0690">
        <w:t xml:space="preserve"> (</w:t>
      </w:r>
      <w:r w:rsidR="00A47F50">
        <w:t>Kumar et al. 2010</w:t>
      </w:r>
      <w:r w:rsidRPr="00EC0690">
        <w:t xml:space="preserve">). Aside from metastases, there are primary neoplastic </w:t>
      </w:r>
      <w:r w:rsidR="00175769" w:rsidRPr="00EC0690">
        <w:t>diseases that do arise from the lymph nodes, and these are broadly referred to as lymphomas.  "</w:t>
      </w:r>
      <w:r w:rsidR="00175769" w:rsidRPr="00EC0690">
        <w:rPr>
          <w:i/>
        </w:rPr>
        <w:t>Lymphomas are a group of diseases caused by malignant lymphocytes that accumulate in the lymph nodes and cause the characteristic clinical features of lymphadenopathy</w:t>
      </w:r>
      <w:r w:rsidR="00175769" w:rsidRPr="00EC0690">
        <w:t>” (swollen lymph nodes) (</w:t>
      </w:r>
      <w:r w:rsidR="00EE174A">
        <w:t xml:space="preserve">Hoffbrand &amp; </w:t>
      </w:r>
      <w:r w:rsidR="00EC0690" w:rsidRPr="00EC0690">
        <w:t>Moss, 2011</w:t>
      </w:r>
      <w:r w:rsidR="00175769" w:rsidRPr="00EC0690">
        <w:t>). Occasionally, these malignant lymphocytes may spill over into blood in what is referred to as the leukemic phase of lymphomas or infiltrate other organs outside the lymphoid tissue (</w:t>
      </w:r>
      <w:r w:rsidR="00EE174A">
        <w:t xml:space="preserve">Hoffbrand &amp; </w:t>
      </w:r>
      <w:r w:rsidR="00A47F50">
        <w:t>Moss, 2011</w:t>
      </w:r>
      <w:r w:rsidR="00175769" w:rsidRPr="00EC0690">
        <w:t xml:space="preserve">). Lymphomas can further be subdivided into two main categories: Hodgkin lymphoma and non-Hodgkin lymphomas based on the characteristic </w:t>
      </w:r>
      <w:r w:rsidR="00175769" w:rsidRPr="00EC0690">
        <w:lastRenderedPageBreak/>
        <w:t>histological appearances of the cells that make up these lymphomas. For this paper, I will place a focus on Hodgkin lymphoma.</w:t>
      </w:r>
    </w:p>
    <w:p w:rsidR="00175769" w:rsidRPr="00EC0690" w:rsidRDefault="00653ADE" w:rsidP="00A47F50">
      <w:pPr>
        <w:spacing w:line="480" w:lineRule="auto"/>
        <w:ind w:firstLine="720"/>
      </w:pPr>
      <w:r w:rsidRPr="00EC0690">
        <w:t>Hodgkin L</w:t>
      </w:r>
      <w:r w:rsidRPr="00EC0690">
        <w:t xml:space="preserve">ymphoma </w:t>
      </w:r>
      <w:r w:rsidR="00A47F50">
        <w:t xml:space="preserve">(HL) </w:t>
      </w:r>
      <w:r w:rsidRPr="00EC0690">
        <w:t xml:space="preserve">was described in 1832 by </w:t>
      </w:r>
      <w:r w:rsidRPr="00EC0690">
        <w:rPr>
          <w:i/>
        </w:rPr>
        <w:t>Thomas Hodgkin</w:t>
      </w:r>
      <w:r w:rsidRPr="00EC0690">
        <w:t xml:space="preserve">, the curator of the then anatomy museum at Guy's Hospital in London. Still, the abnormal cells that define and are characteristic of this lymphoma </w:t>
      </w:r>
      <w:r w:rsidR="00EC0690" w:rsidRPr="00EC0690">
        <w:t xml:space="preserve">were identified in 1898 by the pathologists </w:t>
      </w:r>
      <w:r w:rsidR="00EC0690" w:rsidRPr="00EC0690">
        <w:rPr>
          <w:i/>
        </w:rPr>
        <w:t>Doro</w:t>
      </w:r>
      <w:r w:rsidRPr="00EC0690">
        <w:rPr>
          <w:i/>
        </w:rPr>
        <w:t>thy Reed</w:t>
      </w:r>
      <w:r w:rsidRPr="00EC0690">
        <w:t xml:space="preserve"> and </w:t>
      </w:r>
      <w:r w:rsidRPr="00A47F50">
        <w:rPr>
          <w:i/>
        </w:rPr>
        <w:t>Carl Sternberg</w:t>
      </w:r>
      <w:r w:rsidRPr="00EC0690">
        <w:t xml:space="preserve"> (</w:t>
      </w:r>
      <w:r w:rsidR="00EE174A">
        <w:t xml:space="preserve">Hoffbrand &amp; </w:t>
      </w:r>
      <w:r w:rsidR="00EC0690" w:rsidRPr="00EC0690">
        <w:t>Moss, 2011</w:t>
      </w:r>
      <w:r w:rsidRPr="00EC0690">
        <w:t xml:space="preserve">). </w:t>
      </w:r>
      <w:r w:rsidR="0079525A" w:rsidRPr="00EC0690">
        <w:t>Hodgkin lymphoma a</w:t>
      </w:r>
      <w:r w:rsidR="00A47F50">
        <w:t>ccounts for 30%</w:t>
      </w:r>
      <w:r w:rsidR="0079525A" w:rsidRPr="00EC0690">
        <w:t xml:space="preserve"> of all lymphomas. It develops from a single lymph node or forms a chain of nodes. The most characteristic clinical presentation of the disease occurs involving the lymph nodes located around the neck and the armpit. The spread of this disease is by anatomical extension from one </w:t>
      </w:r>
      <w:r w:rsidR="00A47F50">
        <w:t>lymph</w:t>
      </w:r>
      <w:r w:rsidR="0079525A" w:rsidRPr="00EC0690">
        <w:t xml:space="preserve"> node to an adjacent on down the direction of the flow of lymph. The involvement of lymph nodes in other sites of the body is quite uncommon</w:t>
      </w:r>
      <w:r w:rsidR="00750C8C" w:rsidRPr="00EC0690">
        <w:t>. Still, when it occurs, it</w:t>
      </w:r>
      <w:r w:rsidR="0079525A" w:rsidRPr="00EC0690">
        <w:t xml:space="preserve"> affects the splenic lymph nodes first followed by the lymph nodes in the liver, and then bone marrow </w:t>
      </w:r>
      <w:r w:rsidR="00EE174A" w:rsidRPr="00EC0690">
        <w:t>involvement as</w:t>
      </w:r>
      <w:r w:rsidR="0079525A" w:rsidRPr="00EC0690">
        <w:t xml:space="preserve"> the </w:t>
      </w:r>
      <w:r w:rsidR="00750C8C" w:rsidRPr="00EC0690">
        <w:t>extranodal</w:t>
      </w:r>
      <w:r w:rsidR="0079525A" w:rsidRPr="00EC0690">
        <w:t xml:space="preserve"> site of the disease presentation. The </w:t>
      </w:r>
      <w:r w:rsidR="00EE174A" w:rsidRPr="00EC0690">
        <w:t>occurrence of</w:t>
      </w:r>
      <w:r w:rsidR="0079525A" w:rsidRPr="00EC0690">
        <w:t xml:space="preserve"> the disease depicts a bimodal age distribution, with a majority of the cases occurring among young adults with the mean age of 32 years</w:t>
      </w:r>
      <w:r w:rsidR="00A915CD" w:rsidRPr="00EC0690">
        <w:t>, and it is sporadic in children</w:t>
      </w:r>
      <w:r w:rsidR="0079525A" w:rsidRPr="00EC0690">
        <w:t xml:space="preserve">. </w:t>
      </w:r>
      <w:r w:rsidR="00750C8C" w:rsidRPr="00EC0690">
        <w:t>The peak incidence of the disease occurs in young adults and depicts a 2:1 male predominance (</w:t>
      </w:r>
      <w:r w:rsidR="00EC0690" w:rsidRPr="00EC0690">
        <w:t>Kumar et al. 2010</w:t>
      </w:r>
      <w:r w:rsidR="00750C8C" w:rsidRPr="00EC0690">
        <w:t>).</w:t>
      </w:r>
      <w:r w:rsidR="00493F37" w:rsidRPr="00EC0690">
        <w:t xml:space="preserve"> The signs and symptoms of the disease include the swollen lymph nodes (lymphadenopathy) that are firm, mobile and non-tender, presence of constitutional symptoms in patients with widespread disease that include unexplained fever</w:t>
      </w:r>
      <w:r w:rsidR="00A47F50">
        <w:t xml:space="preserve"> above </w:t>
      </w:r>
      <w:r w:rsidR="00A47F50" w:rsidRPr="00A47F50">
        <w:t>3</w:t>
      </w:r>
      <w:r w:rsidR="00A47F50">
        <w:t>8</w:t>
      </w:r>
      <w:r w:rsidR="00A47F50">
        <w:rPr>
          <w:vertAlign w:val="superscript"/>
        </w:rPr>
        <w:t>0</w:t>
      </w:r>
      <w:r w:rsidR="00A47F50">
        <w:t>C</w:t>
      </w:r>
      <w:r w:rsidR="00493F37" w:rsidRPr="00EC0690">
        <w:t xml:space="preserve">, night sweats, and sudden unexplained weight loss of more than 10% body weight within 6 months </w:t>
      </w:r>
      <w:r w:rsidR="00EE174A">
        <w:t xml:space="preserve">(Hoffbrand &amp; </w:t>
      </w:r>
      <w:r w:rsidR="00EC0690" w:rsidRPr="00EC0690">
        <w:t>Moss, 2011</w:t>
      </w:r>
      <w:r w:rsidR="00493F37" w:rsidRPr="00EC0690">
        <w:t>), modest enlargement of the spleen, and mediastinal involvement in up to 10% of the patients at presentation (</w:t>
      </w:r>
      <w:r w:rsidR="00EE174A">
        <w:t>Hoffbrand &amp;</w:t>
      </w:r>
      <w:r w:rsidR="00EC0690" w:rsidRPr="00EC0690">
        <w:t xml:space="preserve"> Moss, 2011</w:t>
      </w:r>
      <w:r w:rsidR="00493F37" w:rsidRPr="00EC0690">
        <w:t xml:space="preserve">). The possible outcomes for ignoring the symptoms include the widespread of the disease with the late stage at the presentation, which is a poor prognosticator </w:t>
      </w:r>
      <w:r w:rsidR="0079525A" w:rsidRPr="00EC0690">
        <w:t xml:space="preserve">of the illness. The </w:t>
      </w:r>
      <w:r w:rsidR="0079525A" w:rsidRPr="00EC0690">
        <w:lastRenderedPageBreak/>
        <w:t xml:space="preserve">condition </w:t>
      </w:r>
      <w:r w:rsidR="00A915CD" w:rsidRPr="00EC0690">
        <w:t xml:space="preserve">is </w:t>
      </w:r>
      <w:r w:rsidR="00750C8C" w:rsidRPr="00EC0690">
        <w:t>diagnosed using a histological examination of the affected lymph nodes following a careful history taking and physical inspection of the patient.</w:t>
      </w:r>
    </w:p>
    <w:p w:rsidR="00175769" w:rsidRPr="00EC0690" w:rsidRDefault="00750C8C" w:rsidP="00A47F50">
      <w:pPr>
        <w:spacing w:line="480" w:lineRule="auto"/>
        <w:ind w:firstLine="720"/>
      </w:pPr>
      <w:r w:rsidRPr="00EC0690">
        <w:t xml:space="preserve">The disease is </w:t>
      </w:r>
      <w:r w:rsidR="00A915CD" w:rsidRPr="00EC0690">
        <w:t>characterized</w:t>
      </w:r>
      <w:r w:rsidR="0079525A" w:rsidRPr="00EC0690">
        <w:t xml:space="preserve"> histologically by the presence of the Reed-Sternberg cells that morphologically have large and </w:t>
      </w:r>
      <w:r w:rsidRPr="00EC0690">
        <w:t>bi</w:t>
      </w:r>
      <w:r w:rsidR="00A47F50">
        <w:t>-</w:t>
      </w:r>
      <w:r w:rsidRPr="00EC0690">
        <w:t>nucleate</w:t>
      </w:r>
      <w:r w:rsidR="0079525A" w:rsidRPr="00EC0690">
        <w:t xml:space="preserve"> or bi</w:t>
      </w:r>
      <w:r w:rsidR="00A47F50">
        <w:t>-</w:t>
      </w:r>
      <w:r w:rsidR="0079525A" w:rsidRPr="00EC0690">
        <w:t>lobed cells, the nucleus is enclosed within abundant cytoplasm, and the nucleus has a significant, inclusion –like, owl-eye nucleoli that are generally surrounded by a clear halo (</w:t>
      </w:r>
      <w:r w:rsidR="00EC0690" w:rsidRPr="00EC0690">
        <w:t>Kumar et al. 2010</w:t>
      </w:r>
      <w:r w:rsidR="0079525A" w:rsidRPr="00EC0690">
        <w:t>). Based on the cell composition of the lymphoma at the histological level</w:t>
      </w:r>
      <w:r w:rsidR="00A915CD" w:rsidRPr="00EC0690">
        <w:t>, it can be divided into two main subtypes: classical Hodgkin Lymphoma and the lymphocyte-predominant Hodgkin Lymphoma. The classical HL is further d</w:t>
      </w:r>
      <w:r w:rsidR="00A47F50">
        <w:t>ivided into the nodular sclerosi</w:t>
      </w:r>
      <w:r w:rsidR="00A915CD" w:rsidRPr="00EC0690">
        <w:t>ng HL (70%), mixed cellularity HL (20-25%), lymphocyte rich HL (rare), and the lymphocyte depleted HL (limited) (</w:t>
      </w:r>
      <w:r w:rsidR="00EC0690" w:rsidRPr="00EC0690">
        <w:t>Kumar et al. 2010</w:t>
      </w:r>
      <w:r w:rsidR="00A915CD" w:rsidRPr="00EC0690">
        <w:t>).</w:t>
      </w:r>
      <w:r w:rsidRPr="00EC0690">
        <w:t xml:space="preserve"> Clinical staging of the lymphoma uses the Ann Arbor staging system. </w:t>
      </w:r>
      <w:r w:rsidR="00A915CD" w:rsidRPr="00EC0690">
        <w:t xml:space="preserve">The disease is treated using radiotherapy when it is diagnosed early but in the later stages using multidrug chemotherapy. The main </w:t>
      </w:r>
      <w:r w:rsidRPr="00EC0690">
        <w:t>complication of treatment for the disease includes</w:t>
      </w:r>
      <w:r w:rsidR="00A915CD" w:rsidRPr="00EC0690">
        <w:t xml:space="preserve"> the occurrence of secondary malignancies such as lung cancer and acute myeloid leukemia. </w:t>
      </w:r>
      <w:r w:rsidR="00493F37" w:rsidRPr="00EC0690">
        <w:t>The condition is curable with a predicated five years disease-free progression rate, and the right prognosticators of the disease include an early stage, young age, and the absence o</w:t>
      </w:r>
      <w:r w:rsidR="005276E7">
        <w:t>f the constitutional symptoms</w:t>
      </w:r>
      <w:r w:rsidR="00493F37" w:rsidRPr="00EC0690">
        <w:t>.</w:t>
      </w:r>
    </w:p>
    <w:p w:rsidR="00493F37" w:rsidRPr="00EC0690" w:rsidRDefault="00653ADE" w:rsidP="00A47F50">
      <w:pPr>
        <w:spacing w:line="480" w:lineRule="auto"/>
        <w:ind w:firstLine="720"/>
      </w:pPr>
      <w:r w:rsidRPr="00EC0690">
        <w:t>In conclusion, lymphomas are a group of</w:t>
      </w:r>
      <w:r w:rsidRPr="00EC0690">
        <w:t xml:space="preserve"> malignant diseases that affect the lymph nodes. The most common neoplastic disease in these secondary lymphoid organs </w:t>
      </w:r>
      <w:r w:rsidR="00274EAB" w:rsidRPr="00EC0690">
        <w:t>includes</w:t>
      </w:r>
      <w:r w:rsidRPr="00EC0690">
        <w:t xml:space="preserve"> the metastatic cancers that have originated from other parts of the body. Among the lymphomas that arise within the lymph node, </w:t>
      </w:r>
      <w:r w:rsidRPr="00EC0690">
        <w:t xml:space="preserve">there are two main categories: Hodgkin and non-Hodgkin lymphoma. Hodgkin lymphoma is the type of lymphoma that is characterized microscopically by the presence of the Reed-Sternberg cells that are a hallmark of this disease. The disease affects mainly the </w:t>
      </w:r>
      <w:r w:rsidRPr="00EC0690">
        <w:t xml:space="preserve">male gender and occurs mostly among the young adults of about 32 years. The </w:t>
      </w:r>
      <w:r w:rsidRPr="00EC0690">
        <w:lastRenderedPageBreak/>
        <w:t>condition, despite being malignant, is curable if it is discovered at an early stage through the use of radiotherapy for early stages and multidrug chemotherapy for later stages.</w:t>
      </w:r>
    </w:p>
    <w:p w:rsidR="00EC0690" w:rsidRDefault="00653ADE" w:rsidP="00A47F50">
      <w:pPr>
        <w:spacing w:line="480" w:lineRule="auto"/>
        <w:ind w:left="720" w:hanging="720"/>
      </w:pPr>
      <w:r>
        <w:br w:type="page"/>
      </w:r>
    </w:p>
    <w:p w:rsidR="00493F37" w:rsidRPr="00EC0690" w:rsidRDefault="00653ADE" w:rsidP="00A47F50">
      <w:pPr>
        <w:spacing w:line="480" w:lineRule="auto"/>
        <w:jc w:val="center"/>
      </w:pPr>
      <w:r w:rsidRPr="00EC0690">
        <w:lastRenderedPageBreak/>
        <w:t>References</w:t>
      </w:r>
    </w:p>
    <w:p w:rsidR="00EC0690" w:rsidRPr="00EC0690" w:rsidRDefault="00653ADE" w:rsidP="00A47F50">
      <w:pPr>
        <w:spacing w:line="480" w:lineRule="auto"/>
        <w:ind w:left="720" w:hanging="720"/>
      </w:pPr>
      <w:r w:rsidRPr="00EC0690">
        <w:t xml:space="preserve">Hoffbrand, A. V. &amp; Moss, P. H. A. (2011). </w:t>
      </w:r>
      <w:r w:rsidRPr="00EC0690">
        <w:rPr>
          <w:i/>
        </w:rPr>
        <w:t>Essential Haematology</w:t>
      </w:r>
      <w:r w:rsidRPr="00EC0690">
        <w:t>. 6</w:t>
      </w:r>
      <w:r w:rsidRPr="00EC0690">
        <w:rPr>
          <w:vertAlign w:val="superscript"/>
        </w:rPr>
        <w:t>th</w:t>
      </w:r>
      <w:r w:rsidRPr="00EC0690">
        <w:t xml:space="preserve"> Edition. Southern Gate, Chichester, West Sussex: Wiley-Blackwell, </w:t>
      </w:r>
      <w:r w:rsidR="00274EAB" w:rsidRPr="00EC0690">
        <w:t>a</w:t>
      </w:r>
      <w:r w:rsidRPr="00EC0690">
        <w:t xml:space="preserve"> John Wiley &amp; Sons, Ltd, Publication.</w:t>
      </w:r>
    </w:p>
    <w:p w:rsidR="00493F37" w:rsidRPr="00EC0690" w:rsidRDefault="00653ADE" w:rsidP="00A47F50">
      <w:pPr>
        <w:spacing w:line="480" w:lineRule="auto"/>
        <w:ind w:left="720" w:hanging="720"/>
      </w:pPr>
      <w:r w:rsidRPr="00EC0690">
        <w:t xml:space="preserve">Kumar, V., Abbas, K. A., Fausto, N. &amp; Aster, C. J. (2010). </w:t>
      </w:r>
      <w:r w:rsidRPr="00EC0690">
        <w:rPr>
          <w:i/>
        </w:rPr>
        <w:t>Robbins and</w:t>
      </w:r>
      <w:r w:rsidRPr="00EC0690">
        <w:rPr>
          <w:i/>
        </w:rPr>
        <w:t xml:space="preserve"> Cotran Pathologic Basis of Disease</w:t>
      </w:r>
      <w:r w:rsidRPr="00EC0690">
        <w:t>. 8</w:t>
      </w:r>
      <w:r w:rsidRPr="00EC0690">
        <w:rPr>
          <w:vertAlign w:val="superscript"/>
        </w:rPr>
        <w:t>th</w:t>
      </w:r>
      <w:r w:rsidRPr="00EC0690">
        <w:t xml:space="preserve"> Edition. Saunders Elsevier, Philadelphia.</w:t>
      </w:r>
    </w:p>
    <w:p w:rsidR="00EC0690" w:rsidRPr="00EC0690" w:rsidRDefault="00653ADE" w:rsidP="00A47F50">
      <w:pPr>
        <w:spacing w:line="480" w:lineRule="auto"/>
        <w:ind w:left="720" w:hanging="720"/>
      </w:pPr>
      <w:r w:rsidRPr="00EC0690">
        <w:t xml:space="preserve">Roitt, M. I. &amp; Delves, J. P. (2004). </w:t>
      </w:r>
      <w:r w:rsidRPr="00EC0690">
        <w:rPr>
          <w:i/>
        </w:rPr>
        <w:t>Essential Immunology</w:t>
      </w:r>
      <w:r w:rsidRPr="00EC0690">
        <w:t>. 10</w:t>
      </w:r>
      <w:r w:rsidRPr="00EC0690">
        <w:rPr>
          <w:vertAlign w:val="superscript"/>
        </w:rPr>
        <w:t>th</w:t>
      </w:r>
      <w:r w:rsidRPr="00EC0690">
        <w:t xml:space="preserve"> Edition. Malden, Massachusetts: Blackwell Science, Inc. </w:t>
      </w:r>
    </w:p>
    <w:sectPr w:rsidR="00EC0690" w:rsidRPr="00EC0690" w:rsidSect="000746F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3ADE" w:rsidRDefault="00653ADE" w:rsidP="00C70591">
      <w:pPr>
        <w:spacing w:after="0" w:line="240" w:lineRule="auto"/>
      </w:pPr>
      <w:r>
        <w:separator/>
      </w:r>
    </w:p>
  </w:endnote>
  <w:endnote w:type="continuationSeparator" w:id="1">
    <w:p w:rsidR="00653ADE" w:rsidRDefault="00653ADE" w:rsidP="00C705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3ADE" w:rsidRDefault="00653ADE" w:rsidP="00C70591">
      <w:pPr>
        <w:spacing w:after="0" w:line="240" w:lineRule="auto"/>
      </w:pPr>
      <w:r>
        <w:separator/>
      </w:r>
    </w:p>
  </w:footnote>
  <w:footnote w:type="continuationSeparator" w:id="1">
    <w:p w:rsidR="00653ADE" w:rsidRDefault="00653ADE" w:rsidP="00C705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3634436"/>
      <w:docPartObj>
        <w:docPartGallery w:val="Page Numbers (Top of Page)"/>
        <w:docPartUnique/>
      </w:docPartObj>
    </w:sdtPr>
    <w:sdtEndPr>
      <w:rPr>
        <w:noProof/>
      </w:rPr>
    </w:sdtEndPr>
    <w:sdtContent>
      <w:p w:rsidR="00EC0690" w:rsidRDefault="00C70591">
        <w:pPr>
          <w:pStyle w:val="Header"/>
          <w:jc w:val="right"/>
        </w:pPr>
        <w:r>
          <w:fldChar w:fldCharType="begin"/>
        </w:r>
        <w:r w:rsidR="00653ADE">
          <w:instrText xml:space="preserve"> PAGE   \* MERGEFORMAT </w:instrText>
        </w:r>
        <w:r>
          <w:fldChar w:fldCharType="separate"/>
        </w:r>
        <w:r w:rsidR="005276E7">
          <w:rPr>
            <w:noProof/>
          </w:rPr>
          <w:t>5</w:t>
        </w:r>
        <w:r>
          <w:rPr>
            <w:noProof/>
          </w:rPr>
          <w:fldChar w:fldCharType="end"/>
        </w:r>
      </w:p>
    </w:sdtContent>
  </w:sdt>
  <w:p w:rsidR="00EC0690" w:rsidRDefault="00EC069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56191"/>
    <w:rsid w:val="000746F7"/>
    <w:rsid w:val="00175769"/>
    <w:rsid w:val="00274EAB"/>
    <w:rsid w:val="00420909"/>
    <w:rsid w:val="00493F37"/>
    <w:rsid w:val="005276E7"/>
    <w:rsid w:val="00653ADE"/>
    <w:rsid w:val="006B2306"/>
    <w:rsid w:val="00750C8C"/>
    <w:rsid w:val="007553DD"/>
    <w:rsid w:val="0079525A"/>
    <w:rsid w:val="00A47E21"/>
    <w:rsid w:val="00A47F50"/>
    <w:rsid w:val="00A915CD"/>
    <w:rsid w:val="00B577E2"/>
    <w:rsid w:val="00C26F12"/>
    <w:rsid w:val="00C56191"/>
    <w:rsid w:val="00C70591"/>
    <w:rsid w:val="00EC0690"/>
    <w:rsid w:val="00EE174A"/>
    <w:rsid w:val="00F720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6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690"/>
  </w:style>
  <w:style w:type="paragraph" w:styleId="Footer">
    <w:name w:val="footer"/>
    <w:basedOn w:val="Normal"/>
    <w:link w:val="FooterChar"/>
    <w:uiPriority w:val="99"/>
    <w:unhideWhenUsed/>
    <w:rsid w:val="00EC0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69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6</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Kamande</cp:lastModifiedBy>
  <cp:revision>7</cp:revision>
  <dcterms:created xsi:type="dcterms:W3CDTF">2020-03-28T04:55:00Z</dcterms:created>
  <dcterms:modified xsi:type="dcterms:W3CDTF">2020-03-28T10:25:00Z</dcterms:modified>
</cp:coreProperties>
</file>